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97" w:rsidRDefault="00E73B1A">
      <w:pPr>
        <w:rPr>
          <w:rFonts w:ascii="Microsoft YaHei UI" w:eastAsia="Microsoft YaHei UI" w:hAnsi="Microsoft YaHei UI"/>
          <w:color w:val="191919"/>
          <w:sz w:val="36"/>
          <w:szCs w:val="36"/>
          <w:shd w:val="clear" w:color="auto" w:fill="FFFFFF"/>
        </w:rPr>
      </w:pPr>
      <w:r w:rsidRPr="002D1DD6">
        <w:rPr>
          <w:rFonts w:hint="eastAsia"/>
        </w:rPr>
        <w:t>“3.15”消费者权益保护教育宣传周“以案</w:t>
      </w:r>
      <w:bookmarkStart w:id="0" w:name="_GoBack"/>
      <w:r w:rsidRPr="002D1DD6">
        <w:rPr>
          <w:rFonts w:hint="eastAsia"/>
        </w:rPr>
        <w:t>说险”</w:t>
      </w:r>
      <w:r>
        <w:rPr>
          <w:rFonts w:hint="eastAsia"/>
        </w:rPr>
        <w:t>之</w:t>
      </w:r>
      <w:r w:rsidR="00224B48" w:rsidRPr="00E73B1A">
        <w:rPr>
          <w:rFonts w:hint="eastAsia"/>
        </w:rPr>
        <w:t>警惕利用“微信群”诈骗</w:t>
      </w:r>
      <w:bookmarkEnd w:id="0"/>
    </w:p>
    <w:p w:rsidR="00224B48" w:rsidRPr="00224B48" w:rsidRDefault="00224B48">
      <w:pPr>
        <w:rPr>
          <w:rFonts w:ascii="Microsoft YaHei UI" w:eastAsia="Microsoft YaHei UI" w:hAnsi="Microsoft YaHei UI" w:cs="宋体"/>
          <w:color w:val="191919"/>
          <w:spacing w:val="5"/>
          <w:kern w:val="0"/>
          <w:sz w:val="27"/>
          <w:szCs w:val="27"/>
        </w:rPr>
      </w:pPr>
      <w:r>
        <w:rPr>
          <w:rFonts w:hint="eastAsia"/>
          <w:noProof/>
        </w:rPr>
        <w:drawing>
          <wp:inline distT="0" distB="0" distL="0" distR="0">
            <wp:extent cx="3810000" cy="2867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48" w:rsidRPr="00224B48" w:rsidRDefault="00224B48" w:rsidP="00224B48">
      <w:pPr>
        <w:ind w:firstLineChars="1900" w:firstLine="5320"/>
        <w:rPr>
          <w:rFonts w:ascii="Microsoft YaHei UI" w:eastAsia="Microsoft YaHei UI" w:hAnsi="Microsoft YaHei UI" w:cs="宋体"/>
          <w:color w:val="191919"/>
          <w:spacing w:val="5"/>
          <w:kern w:val="0"/>
          <w:sz w:val="27"/>
          <w:szCs w:val="27"/>
        </w:rPr>
      </w:pPr>
      <w:r w:rsidRPr="00224B48">
        <w:rPr>
          <w:rFonts w:ascii="Microsoft YaHei UI" w:eastAsia="Microsoft YaHei UI" w:hAnsi="Microsoft YaHei UI" w:cs="宋体" w:hint="eastAsia"/>
          <w:color w:val="191919"/>
          <w:spacing w:val="5"/>
          <w:kern w:val="0"/>
          <w:sz w:val="27"/>
          <w:szCs w:val="27"/>
        </w:rPr>
        <w:t>（图片来源于网络）</w:t>
      </w:r>
    </w:p>
    <w:p w:rsidR="00224B48" w:rsidRPr="00224B48" w:rsidRDefault="00224B48">
      <w:pPr>
        <w:rPr>
          <w:rFonts w:ascii="Microsoft YaHei UI" w:eastAsia="Microsoft YaHei UI" w:hAnsi="Microsoft YaHei UI" w:cs="宋体"/>
          <w:color w:val="191919"/>
          <w:spacing w:val="5"/>
          <w:kern w:val="0"/>
          <w:sz w:val="27"/>
          <w:szCs w:val="27"/>
        </w:rPr>
      </w:pP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骗子以投资高收益为诱饵，引诱群众加入所谓的“投资微信指导群”，以网上经营投资理财产品为名，“指导”加入的群众进行投资，骗子安排群内多人为托，激发投资热情，初期以分配高息让群众得到“甜头”，然后哄骗更多的群众入群，并吸引群众加大投入，群内管理员会将群众拉至另一学习群内以方便后期操作，骗子骗取大额资金后解散</w:t>
      </w:r>
      <w:proofErr w:type="gramStart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微信群</w:t>
      </w:r>
      <w:proofErr w:type="gramEnd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并“跑路”。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不仅如此，诈骗期间，骗子还让群众到银行开立个人银行账户，开通高转账</w:t>
      </w:r>
      <w:proofErr w:type="gramStart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额度网银</w:t>
      </w:r>
      <w:proofErr w:type="gramEnd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业务，群众办卡后，手机号、身份证号以及银行卡号被公布在该指导群中，此类</w:t>
      </w:r>
      <w:proofErr w:type="gramStart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微信群</w:t>
      </w:r>
      <w:proofErr w:type="gramEnd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还存在冒用他人身份信息、非法买卖银行卡、利用银行卡实施网络诈骗、洗钱等风险。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lastRenderedPageBreak/>
        <w:t>为保护消费者合法权益，提示消费者在银行卡的办理和使用过程中要注意防范金融诈骗风险，确保用卡安全，要坚持“四不”原则：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一是“不轻信”：不</w:t>
      </w:r>
      <w:proofErr w:type="gramStart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轻易进陌生微信群</w:t>
      </w:r>
      <w:proofErr w:type="gramEnd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，不轻信高收益陷阱。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二是“不透露”：不透露任何个人信息，尤其是</w:t>
      </w:r>
      <w:proofErr w:type="gramStart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验证码及来路</w:t>
      </w:r>
      <w:proofErr w:type="gramEnd"/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不明的短信信息。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三是“不转账”：不向陌生账号或未经确认的账号直接转账。</w:t>
      </w:r>
    </w:p>
    <w:p w:rsidR="00224B48" w:rsidRDefault="00224B48" w:rsidP="00224B48">
      <w:pPr>
        <w:pStyle w:val="ql-block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191919"/>
          <w:spacing w:val="5"/>
          <w:sz w:val="27"/>
          <w:szCs w:val="27"/>
        </w:rPr>
      </w:pPr>
      <w:r>
        <w:rPr>
          <w:rFonts w:ascii="Microsoft YaHei UI" w:eastAsia="Microsoft YaHei UI" w:hAnsi="Microsoft YaHei UI" w:hint="eastAsia"/>
          <w:color w:val="191919"/>
          <w:spacing w:val="5"/>
          <w:sz w:val="27"/>
          <w:szCs w:val="27"/>
        </w:rPr>
        <w:t>四是“不出借”：不将身份证、银行卡、U-Key出借他人使用。</w:t>
      </w:r>
    </w:p>
    <w:p w:rsidR="00224B48" w:rsidRPr="00224B48" w:rsidRDefault="00224B48">
      <w:pPr>
        <w:rPr>
          <w:rFonts w:ascii="Microsoft YaHei UI" w:eastAsia="Microsoft YaHei UI" w:hAnsi="Microsoft YaHei UI" w:cs="宋体"/>
          <w:color w:val="191919"/>
          <w:spacing w:val="5"/>
          <w:kern w:val="0"/>
          <w:sz w:val="27"/>
          <w:szCs w:val="27"/>
        </w:rPr>
      </w:pPr>
      <w:r w:rsidRPr="00224B48">
        <w:rPr>
          <w:rFonts w:ascii="Microsoft YaHei UI" w:eastAsia="Microsoft YaHei UI" w:hAnsi="Microsoft YaHei UI" w:cs="宋体" w:hint="eastAsia"/>
          <w:color w:val="191919"/>
          <w:spacing w:val="5"/>
          <w:kern w:val="0"/>
          <w:sz w:val="27"/>
          <w:szCs w:val="27"/>
        </w:rPr>
        <w:t>*国民银行哈尔滨分行</w:t>
      </w:r>
    </w:p>
    <w:sectPr w:rsidR="00224B48" w:rsidRPr="0022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48"/>
    <w:rsid w:val="00224B48"/>
    <w:rsid w:val="00E73B1A"/>
    <w:rsid w:val="00F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62B8"/>
  <w15:chartTrackingRefBased/>
  <w15:docId w15:val="{B906F58E-36F4-4D59-8011-41CFC4F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block">
    <w:name w:val="ql-block"/>
    <w:basedOn w:val="a"/>
    <w:rsid w:val="00224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2022-03-14T02:42:00Z</dcterms:created>
  <dcterms:modified xsi:type="dcterms:W3CDTF">2022-03-14T02:54:00Z</dcterms:modified>
</cp:coreProperties>
</file>