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17" w:rsidRDefault="00C37F9D" w:rsidP="001C33E9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463550</wp:posOffset>
            </wp:positionV>
            <wp:extent cx="2724150" cy="266954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6161554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DEC">
        <w:rPr>
          <w:rFonts w:ascii="仿宋" w:eastAsia="仿宋" w:hAnsi="仿宋" w:hint="eastAsia"/>
        </w:rPr>
        <w:t>守住“钱袋子”</w:t>
      </w:r>
      <w:r w:rsidR="00341DEC" w:rsidRPr="00EB255C">
        <w:rPr>
          <w:rFonts w:ascii="仿宋" w:eastAsia="仿宋" w:hAnsi="仿宋" w:hint="eastAsia"/>
        </w:rPr>
        <w:t>宣传活动</w:t>
      </w:r>
      <w:r w:rsidR="00341DEC">
        <w:rPr>
          <w:rFonts w:ascii="仿宋" w:eastAsia="仿宋" w:hAnsi="仿宋" w:hint="eastAsia"/>
        </w:rPr>
        <w:t>|</w:t>
      </w:r>
      <w:r w:rsidR="001C33E9" w:rsidRPr="001C33E9">
        <w:rPr>
          <w:rFonts w:ascii="仿宋" w:eastAsia="仿宋" w:hAnsi="仿宋" w:hint="eastAsia"/>
        </w:rPr>
        <w:t>如何读懂银行理财产品说明书</w:t>
      </w:r>
    </w:p>
    <w:p w:rsidR="00C37F9D" w:rsidRPr="00C37F9D" w:rsidRDefault="00C37F9D" w:rsidP="00C37F9D">
      <w:pPr>
        <w:spacing w:line="400" w:lineRule="exact"/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（图片来源于网络）</w:t>
      </w:r>
    </w:p>
    <w:p w:rsidR="001C33E9" w:rsidRPr="001C33E9" w:rsidRDefault="001C33E9" w:rsidP="001C33E9">
      <w:pPr>
        <w:widowControl/>
        <w:spacing w:line="400" w:lineRule="exact"/>
        <w:ind w:firstLineChars="200" w:firstLine="420"/>
        <w:jc w:val="left"/>
        <w:rPr>
          <w:rFonts w:ascii="仿宋" w:eastAsia="仿宋" w:hAnsi="仿宋" w:cs="宋体"/>
          <w:kern w:val="0"/>
          <w:szCs w:val="21"/>
        </w:rPr>
      </w:pPr>
      <w:r w:rsidRPr="001C33E9">
        <w:rPr>
          <w:rFonts w:ascii="仿宋" w:eastAsia="仿宋" w:hAnsi="仿宋" w:cs="宋体" w:hint="eastAsia"/>
          <w:color w:val="191919"/>
          <w:kern w:val="0"/>
          <w:szCs w:val="21"/>
          <w:shd w:val="clear" w:color="auto" w:fill="FFFFFF"/>
        </w:rPr>
        <w:t>银行理财产品以商业银行为发行主体，因银行的金牌信誉和结算快捷而得到投资者的青睐。投资者在准备购买之前，应重视阅读理财产品说明书，因为理财产</w:t>
      </w:r>
      <w:bookmarkStart w:id="0" w:name="_GoBack"/>
      <w:bookmarkEnd w:id="0"/>
      <w:r w:rsidRPr="001C33E9">
        <w:rPr>
          <w:rFonts w:ascii="仿宋" w:eastAsia="仿宋" w:hAnsi="仿宋" w:cs="宋体" w:hint="eastAsia"/>
          <w:color w:val="191919"/>
          <w:kern w:val="0"/>
          <w:szCs w:val="21"/>
          <w:shd w:val="clear" w:color="auto" w:fill="FFFFFF"/>
        </w:rPr>
        <w:t>品说明书对产品介绍的信息最为全面和准确，但常常因内容具有一定的专业性，导致很多投资人难以理解。下面介绍的“</w:t>
      </w:r>
      <w:proofErr w:type="gramStart"/>
      <w:r w:rsidRPr="001C33E9">
        <w:rPr>
          <w:rFonts w:ascii="仿宋" w:eastAsia="仿宋" w:hAnsi="仿宋" w:cs="宋体" w:hint="eastAsia"/>
          <w:color w:val="191919"/>
          <w:kern w:val="0"/>
          <w:szCs w:val="21"/>
          <w:shd w:val="clear" w:color="auto" w:fill="FFFFFF"/>
        </w:rPr>
        <w:t>一率二</w:t>
      </w:r>
      <w:proofErr w:type="gramEnd"/>
      <w:r w:rsidRPr="001C33E9">
        <w:rPr>
          <w:rFonts w:ascii="仿宋" w:eastAsia="仿宋" w:hAnsi="仿宋" w:cs="宋体" w:hint="eastAsia"/>
          <w:color w:val="191919"/>
          <w:kern w:val="0"/>
          <w:szCs w:val="21"/>
          <w:shd w:val="clear" w:color="auto" w:fill="FFFFFF"/>
        </w:rPr>
        <w:t>权三期”法帮您读懂理财产品说明书的关键内容。</w:t>
      </w:r>
    </w:p>
    <w:p w:rsidR="001C33E9" w:rsidRDefault="001C33E9" w:rsidP="001C33E9">
      <w:pPr>
        <w:widowControl/>
        <w:shd w:val="clear" w:color="auto" w:fill="FFFFFF"/>
        <w:spacing w:line="400" w:lineRule="exact"/>
        <w:rPr>
          <w:rFonts w:ascii="仿宋" w:eastAsia="仿宋" w:hAnsi="仿宋" w:cs="宋体"/>
          <w:color w:val="191919"/>
          <w:spacing w:val="5"/>
          <w:kern w:val="0"/>
          <w:szCs w:val="21"/>
        </w:rPr>
      </w:pP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proofErr w:type="gramStart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一</w:t>
      </w:r>
      <w:proofErr w:type="gramEnd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“率”：</w:t>
      </w:r>
      <w:proofErr w:type="gramStart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预期年化收益率</w:t>
      </w:r>
      <w:proofErr w:type="gramEnd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1.要注意说明书中的“预期最高年化收益率”不等同于实际收益，银行都不具有保证支付义务，最终的实际收益率可能与预期</w:t>
      </w:r>
      <w:proofErr w:type="gramStart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最高年化收益率</w:t>
      </w:r>
      <w:proofErr w:type="gramEnd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出现偏差。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2.注意“年化”的含义，即持有满一年可达到的收益水平。比如：一款产品称24个月可以取得24%的收益，折成年收益就是12%。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二“权”：终止权、赎回权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多数理财说明书中会写明银行单方面拥有提前终止权，投资人没有提前终止权，意味着投资人购买产品后无法根据市场状况调整资金投向，需要审慎考虑其中的代价。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  <w:t>赎回权一般分两种情况，一是投资人不具有提前赎回权；二是客户可以提前赎回，进一步还细分为随时支持赎回和只可在一定时间内赎回。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通常，提前赎回需要支付相关费用，如果费用过高，建议投资人慎重考虑。若确需提前赎回，可以看说明书中是否有质押贷款条款，如果可将理财产品质押给银行获得贷款，即可保障产品的继续持有，也满足不时之需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三“期”：期限、募集期、到期日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期限是理财产品的收益期，即起息日至到期日之间的天数，一般以天、月、年为单位在说明书中标明。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募集期是从开始认购日到结束认购日，一般结束认购日的次日为成立日（即起息日），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lastRenderedPageBreak/>
        <w:t>在募集期一般只计活期利息。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br/>
      </w:r>
      <w:r w:rsidRPr="001C33E9">
        <w:rPr>
          <w:rFonts w:ascii="Calibri" w:eastAsia="仿宋" w:hAnsi="Calibri" w:cs="Calibri"/>
          <w:color w:val="191919"/>
          <w:spacing w:val="5"/>
          <w:kern w:val="0"/>
          <w:szCs w:val="21"/>
        </w:rPr>
        <w:t>       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要特别注意的是，到期日不等于投资人资金到账日，到账</w:t>
      </w:r>
      <w:proofErr w:type="gramStart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日一般</w:t>
      </w:r>
      <w:proofErr w:type="gramEnd"/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是在到期日之后的第2-3个工作日，通常在说明书中以T+2或T+3标明，到期日与到账日期间不计付利息。</w:t>
      </w:r>
    </w:p>
    <w:p w:rsidR="001C33E9" w:rsidRPr="001C33E9" w:rsidRDefault="001C33E9" w:rsidP="001C33E9">
      <w:pPr>
        <w:widowControl/>
        <w:shd w:val="clear" w:color="auto" w:fill="FFFFFF"/>
        <w:spacing w:line="400" w:lineRule="exact"/>
        <w:jc w:val="right"/>
        <w:rPr>
          <w:rFonts w:ascii="仿宋" w:eastAsia="仿宋" w:hAnsi="仿宋" w:cs="宋体"/>
          <w:color w:val="191919"/>
          <w:spacing w:val="5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*</w:t>
      </w:r>
      <w:r w:rsidRPr="001C33E9">
        <w:rPr>
          <w:rFonts w:ascii="仿宋" w:eastAsia="仿宋" w:hAnsi="仿宋" w:cs="宋体" w:hint="eastAsia"/>
          <w:color w:val="191919"/>
          <w:spacing w:val="5"/>
          <w:kern w:val="0"/>
          <w:szCs w:val="21"/>
        </w:rPr>
        <w:t>国民银行哈尔滨分行</w:t>
      </w:r>
    </w:p>
    <w:p w:rsidR="001C33E9" w:rsidRPr="00552B17" w:rsidRDefault="001C33E9" w:rsidP="001C33E9">
      <w:pPr>
        <w:spacing w:line="400" w:lineRule="exact"/>
        <w:rPr>
          <w:rFonts w:ascii="仿宋" w:eastAsia="仿宋" w:hAnsi="仿宋"/>
        </w:rPr>
      </w:pPr>
    </w:p>
    <w:sectPr w:rsidR="001C33E9" w:rsidRPr="0055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F13" w:rsidRDefault="00FF1F13" w:rsidP="00C37F9D">
      <w:r>
        <w:separator/>
      </w:r>
    </w:p>
  </w:endnote>
  <w:endnote w:type="continuationSeparator" w:id="0">
    <w:p w:rsidR="00FF1F13" w:rsidRDefault="00FF1F13" w:rsidP="00C3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F13" w:rsidRDefault="00FF1F13" w:rsidP="00C37F9D">
      <w:r>
        <w:separator/>
      </w:r>
    </w:p>
  </w:footnote>
  <w:footnote w:type="continuationSeparator" w:id="0">
    <w:p w:rsidR="00FF1F13" w:rsidRDefault="00FF1F13" w:rsidP="00C3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30B09"/>
    <w:multiLevelType w:val="hybridMultilevel"/>
    <w:tmpl w:val="22848B08"/>
    <w:lvl w:ilvl="0" w:tplc="42DAF680">
      <w:start w:val="3"/>
      <w:numFmt w:val="bullet"/>
      <w:lvlText w:val=""/>
      <w:lvlJc w:val="left"/>
      <w:pPr>
        <w:ind w:left="360" w:hanging="36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EC"/>
    <w:rsid w:val="001C33E9"/>
    <w:rsid w:val="00341DEC"/>
    <w:rsid w:val="00552B17"/>
    <w:rsid w:val="006C3506"/>
    <w:rsid w:val="00C37F9D"/>
    <w:rsid w:val="00E42279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8AEAF"/>
  <w15:chartTrackingRefBased/>
  <w15:docId w15:val="{E1AB9446-E349-4E98-B504-8E9D0D0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1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3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7F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7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kbchina</dc:creator>
  <cp:keywords/>
  <dc:description/>
  <cp:lastModifiedBy>kbchina</cp:lastModifiedBy>
  <cp:revision>3</cp:revision>
  <dcterms:created xsi:type="dcterms:W3CDTF">2021-06-16T07:57:00Z</dcterms:created>
  <dcterms:modified xsi:type="dcterms:W3CDTF">2021-06-16T08:00:00Z</dcterms:modified>
</cp:coreProperties>
</file>